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D9315" w14:textId="4FA76917" w:rsidR="0089666F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D76FAD">
        <w:rPr>
          <w:b/>
          <w:noProof/>
          <w:sz w:val="24"/>
        </w:rPr>
        <w:t>3536</w:t>
      </w:r>
    </w:p>
    <w:p w14:paraId="56E04EB7" w14:textId="77777777" w:rsidR="0089666F" w:rsidRDefault="0089666F" w:rsidP="008966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EB18E4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D76FAD">
        <w:t>L</w:t>
      </w:r>
      <w:r w:rsidRPr="00D76FAD">
        <w:t xml:space="preserve">S on </w:t>
      </w:r>
      <w:r w:rsidR="00D76FAD" w:rsidRPr="00D76FAD">
        <w:t xml:space="preserve">Binding </w:t>
      </w:r>
      <w:r w:rsidR="00D76FAD">
        <w:t>indication</w:t>
      </w:r>
      <w:r w:rsidR="00D76FAD" w:rsidRPr="00D76FAD">
        <w:t xml:space="preserve"> for </w:t>
      </w:r>
      <w:r w:rsidR="00497346">
        <w:t>subscribe</w:t>
      </w:r>
      <w:r w:rsidR="006D5CF7">
        <w:t>/</w:t>
      </w:r>
      <w:r w:rsidR="00BB085A">
        <w:t>notif</w:t>
      </w:r>
      <w:r w:rsidR="00497346">
        <w:t xml:space="preserve">y </w:t>
      </w:r>
    </w:p>
    <w:p w14:paraId="56E3B846" w14:textId="70A0C8A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6FAD" w:rsidRPr="00D76FAD">
        <w:t>Rel-16</w:t>
      </w:r>
    </w:p>
    <w:p w14:paraId="792135A2" w14:textId="4A5FA7D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D76FAD" w:rsidRPr="00D76FAD">
        <w:t>eSBA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2996F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76FAD" w:rsidRPr="00D76FAD">
        <w:rPr>
          <w:b w:val="0"/>
        </w:rPr>
        <w:t>CT4</w:t>
      </w:r>
    </w:p>
    <w:p w14:paraId="6AF9910D" w14:textId="5AD9B45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76FAD" w:rsidRPr="00D76FAD">
        <w:rPr>
          <w:b w:val="0"/>
        </w:rPr>
        <w:t>SA2</w:t>
      </w:r>
    </w:p>
    <w:p w14:paraId="033E954A" w14:textId="528CA65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76FAD" w:rsidRPr="00D76FAD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A51A9A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76FAD">
        <w:rPr>
          <w:bCs/>
        </w:rPr>
        <w:t>Bruno Landais</w:t>
      </w:r>
    </w:p>
    <w:p w14:paraId="7E748C49" w14:textId="359DF8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DFCFFEE" w:rsidR="00463675" w:rsidRPr="00D76F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76FAD">
        <w:rPr>
          <w:color w:val="0000FF"/>
          <w:lang w:val="fr-FR"/>
        </w:rPr>
        <w:t xml:space="preserve">E-mail </w:t>
      </w:r>
      <w:proofErr w:type="spellStart"/>
      <w:proofErr w:type="gramStart"/>
      <w:r w:rsidRPr="00D76FAD">
        <w:rPr>
          <w:color w:val="0000FF"/>
          <w:lang w:val="fr-FR"/>
        </w:rPr>
        <w:t>Address</w:t>
      </w:r>
      <w:proofErr w:type="spellEnd"/>
      <w:r w:rsidRPr="00D76FAD">
        <w:rPr>
          <w:color w:val="0000FF"/>
          <w:lang w:val="fr-FR"/>
        </w:rPr>
        <w:t>:</w:t>
      </w:r>
      <w:proofErr w:type="gramEnd"/>
      <w:r w:rsidRPr="00D76FAD">
        <w:rPr>
          <w:bCs/>
          <w:color w:val="0000FF"/>
          <w:lang w:val="fr-FR"/>
        </w:rPr>
        <w:tab/>
      </w:r>
      <w:r w:rsidR="00D76FAD" w:rsidRPr="00D76FAD">
        <w:rPr>
          <w:bCs/>
          <w:color w:val="0000FF"/>
          <w:lang w:val="fr-FR"/>
        </w:rPr>
        <w:t>bruno.landais@</w:t>
      </w:r>
      <w:r w:rsidR="00D76FAD">
        <w:rPr>
          <w:bCs/>
          <w:color w:val="0000FF"/>
          <w:lang w:val="fr-FR"/>
        </w:rPr>
        <w:t>nokia.com</w:t>
      </w:r>
    </w:p>
    <w:p w14:paraId="486A119D" w14:textId="77777777" w:rsidR="00463675" w:rsidRPr="00D76F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9C4AAC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6FAD" w:rsidRPr="00D76FAD">
        <w:rPr>
          <w:b w:val="0"/>
        </w:rPr>
        <w:t>None</w:t>
      </w:r>
      <w:r w:rsidRPr="000F4E43">
        <w:rPr>
          <w:color w:val="FF000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97762A" w14:textId="77777777" w:rsidR="00D76FAD" w:rsidRDefault="00D76FAD">
      <w:pPr>
        <w:rPr>
          <w:rFonts w:ascii="Arial" w:hAnsi="Arial" w:cs="Arial"/>
        </w:rPr>
      </w:pPr>
    </w:p>
    <w:p w14:paraId="3EAC43B5" w14:textId="315506F3" w:rsidR="00D76FAD" w:rsidRDefault="00D76FAD" w:rsidP="00D76FAD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D76FAD">
        <w:rPr>
          <w:rFonts w:ascii="Arial" w:hAnsi="Arial" w:cs="Arial"/>
        </w:rPr>
        <w:t xml:space="preserve">lause 4.17.12.3 of TS 23.502 enables a service consumer to provide a binding indication to the service producer as part of a service request if the consumer can also be a service producer for later communication for the concerned context. </w:t>
      </w:r>
    </w:p>
    <w:p w14:paraId="25F856B2" w14:textId="4322A9E7" w:rsidR="00D76FAD" w:rsidRDefault="00D76FAD" w:rsidP="00D76FAD">
      <w:pPr>
        <w:rPr>
          <w:rFonts w:ascii="Arial" w:hAnsi="Arial" w:cs="Arial"/>
        </w:rPr>
      </w:pPr>
    </w:p>
    <w:p w14:paraId="23DCE873" w14:textId="614B189B" w:rsidR="00D76FAD" w:rsidRDefault="008F34DF" w:rsidP="00D76FA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BB085A">
        <w:rPr>
          <w:rFonts w:ascii="Arial" w:hAnsi="Arial" w:cs="Arial"/>
        </w:rPr>
        <w:t>assumes that binding should also be supported for subscribe</w:t>
      </w:r>
      <w:r w:rsidR="00237638">
        <w:rPr>
          <w:rFonts w:ascii="Arial" w:hAnsi="Arial" w:cs="Arial"/>
        </w:rPr>
        <w:t>/</w:t>
      </w:r>
      <w:r w:rsidR="00BB085A">
        <w:rPr>
          <w:rFonts w:ascii="Arial" w:hAnsi="Arial" w:cs="Arial"/>
        </w:rPr>
        <w:t>notify service operations, i.e. that</w:t>
      </w:r>
      <w:r>
        <w:rPr>
          <w:rFonts w:ascii="Arial" w:hAnsi="Arial" w:cs="Arial"/>
        </w:rPr>
        <w:t xml:space="preserve"> a service consumer </w:t>
      </w:r>
      <w:r w:rsidR="00BB085A">
        <w:rPr>
          <w:rFonts w:ascii="Arial" w:hAnsi="Arial" w:cs="Arial"/>
        </w:rPr>
        <w:t xml:space="preserve">should be able </w:t>
      </w:r>
      <w:r>
        <w:rPr>
          <w:rFonts w:ascii="Arial" w:hAnsi="Arial" w:cs="Arial"/>
        </w:rPr>
        <w:t xml:space="preserve">to provide a binding indication to the service producer </w:t>
      </w:r>
      <w:r w:rsidR="00BB085A">
        <w:rPr>
          <w:rFonts w:ascii="Arial" w:hAnsi="Arial" w:cs="Arial"/>
        </w:rPr>
        <w:t xml:space="preserve">when subscribing to notifications, such as to enable </w:t>
      </w:r>
      <w:proofErr w:type="spellStart"/>
      <w:r>
        <w:rPr>
          <w:rFonts w:ascii="Arial" w:hAnsi="Arial" w:cs="Arial"/>
        </w:rPr>
        <w:t>the se</w:t>
      </w:r>
      <w:proofErr w:type="spellEnd"/>
      <w:r>
        <w:rPr>
          <w:rFonts w:ascii="Arial" w:hAnsi="Arial" w:cs="Arial"/>
        </w:rPr>
        <w:t xml:space="preserve">rvice producer or SCP to discover and select an alternative service consumer within the service consumer's NF set </w:t>
      </w:r>
      <w:r w:rsidR="00BB085A">
        <w:rPr>
          <w:rFonts w:ascii="Arial" w:hAnsi="Arial" w:cs="Arial"/>
        </w:rPr>
        <w:t xml:space="preserve">when sending </w:t>
      </w:r>
      <w:r w:rsidR="00237638">
        <w:rPr>
          <w:rFonts w:ascii="Arial" w:hAnsi="Arial" w:cs="Arial"/>
        </w:rPr>
        <w:t xml:space="preserve">subsequent </w:t>
      </w:r>
      <w:r w:rsidR="00BB085A">
        <w:rPr>
          <w:rFonts w:ascii="Arial" w:hAnsi="Arial" w:cs="Arial"/>
        </w:rPr>
        <w:t xml:space="preserve">notifications, </w:t>
      </w:r>
      <w:r>
        <w:rPr>
          <w:rFonts w:ascii="Arial" w:hAnsi="Arial" w:cs="Arial"/>
        </w:rPr>
        <w:t xml:space="preserve">e.g. </w:t>
      </w:r>
      <w:r w:rsidR="00A72717">
        <w:rPr>
          <w:rFonts w:ascii="Arial" w:hAnsi="Arial" w:cs="Arial"/>
        </w:rPr>
        <w:t xml:space="preserve">to cover scenarios </w:t>
      </w:r>
      <w:r>
        <w:rPr>
          <w:rFonts w:ascii="Arial" w:hAnsi="Arial" w:cs="Arial"/>
        </w:rPr>
        <w:t>wh</w:t>
      </w:r>
      <w:r w:rsidR="00A72717">
        <w:rPr>
          <w:rFonts w:ascii="Arial" w:hAnsi="Arial" w:cs="Arial"/>
        </w:rPr>
        <w:t>ere</w:t>
      </w:r>
      <w:r>
        <w:rPr>
          <w:rFonts w:ascii="Arial" w:hAnsi="Arial" w:cs="Arial"/>
        </w:rPr>
        <w:t xml:space="preserve"> the original service consumer </w:t>
      </w:r>
      <w:r w:rsidR="00A72717">
        <w:rPr>
          <w:rFonts w:ascii="Arial" w:hAnsi="Arial" w:cs="Arial"/>
        </w:rPr>
        <w:t>is no longer available</w:t>
      </w:r>
      <w:r>
        <w:rPr>
          <w:rFonts w:ascii="Arial" w:hAnsi="Arial" w:cs="Arial"/>
        </w:rPr>
        <w:t xml:space="preserve">.   </w:t>
      </w:r>
    </w:p>
    <w:p w14:paraId="5B88DB57" w14:textId="07ED9A56" w:rsidR="00D76FAD" w:rsidRDefault="00D76FAD" w:rsidP="00D76FAD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6CD5C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F34DF" w:rsidRPr="008F34D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108FB7C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34DF" w:rsidRPr="008F34DF">
        <w:rPr>
          <w:rFonts w:ascii="Arial" w:hAnsi="Arial" w:cs="Arial"/>
        </w:rPr>
        <w:t>CT4</w:t>
      </w:r>
      <w:r w:rsidRPr="008F34DF">
        <w:rPr>
          <w:rFonts w:ascii="Arial" w:hAnsi="Arial" w:cs="Arial"/>
        </w:rPr>
        <w:t xml:space="preserve"> </w:t>
      </w:r>
      <w:r w:rsidR="008F34DF" w:rsidRPr="008F34DF">
        <w:rPr>
          <w:rFonts w:ascii="Arial" w:hAnsi="Arial" w:cs="Arial"/>
        </w:rPr>
        <w:t xml:space="preserve">kindly </w:t>
      </w:r>
      <w:r w:rsidRPr="008F34DF">
        <w:rPr>
          <w:rFonts w:ascii="Arial" w:hAnsi="Arial" w:cs="Arial"/>
        </w:rPr>
        <w:t xml:space="preserve">asks </w:t>
      </w:r>
      <w:r w:rsidR="008F34DF" w:rsidRPr="008F34DF">
        <w:rPr>
          <w:rFonts w:ascii="Arial" w:hAnsi="Arial" w:cs="Arial"/>
        </w:rPr>
        <w:t>SA2</w:t>
      </w:r>
      <w:r w:rsidRPr="008F34DF">
        <w:rPr>
          <w:rFonts w:ascii="Arial" w:hAnsi="Arial" w:cs="Arial"/>
        </w:rPr>
        <w:t xml:space="preserve"> group to </w:t>
      </w:r>
      <w:r w:rsidR="008F34DF" w:rsidRPr="008F34DF">
        <w:rPr>
          <w:rFonts w:ascii="Arial" w:hAnsi="Arial" w:cs="Arial"/>
        </w:rPr>
        <w:t xml:space="preserve">confirm that </w:t>
      </w:r>
      <w:r w:rsidR="00A72717">
        <w:rPr>
          <w:rFonts w:ascii="Arial" w:hAnsi="Arial" w:cs="Arial"/>
        </w:rPr>
        <w:t>the binding mechanism should also apply to subscribe</w:t>
      </w:r>
      <w:r w:rsidR="00237638">
        <w:rPr>
          <w:rFonts w:ascii="Arial" w:hAnsi="Arial" w:cs="Arial"/>
        </w:rPr>
        <w:t>/</w:t>
      </w:r>
      <w:bookmarkStart w:id="0" w:name="_GoBack"/>
      <w:bookmarkEnd w:id="0"/>
      <w:r w:rsidR="00A72717">
        <w:rPr>
          <w:rFonts w:ascii="Arial" w:hAnsi="Arial" w:cs="Arial"/>
        </w:rPr>
        <w:t xml:space="preserve">notify service operations, </w:t>
      </w:r>
      <w:r w:rsidR="008F34DF">
        <w:rPr>
          <w:rFonts w:ascii="Arial" w:hAnsi="Arial" w:cs="Arial"/>
        </w:rPr>
        <w:t>and to update stage 2 accordingly</w:t>
      </w:r>
      <w:r w:rsidR="00A72717">
        <w:rPr>
          <w:rFonts w:ascii="Arial" w:hAnsi="Arial" w:cs="Arial"/>
        </w:rPr>
        <w:t xml:space="preserve"> if necessary</w:t>
      </w:r>
      <w:r w:rsidR="008F34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2440E6ED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89666F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07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9666F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9666F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proofErr w:type="spellStart"/>
      <w:r w:rsidR="0089666F">
        <w:rPr>
          <w:rFonts w:ascii="Arial" w:hAnsi="Arial" w:cs="Arial"/>
          <w:bCs/>
        </w:rPr>
        <w:t>Portoroz</w:t>
      </w:r>
      <w:proofErr w:type="spellEnd"/>
      <w:r w:rsidR="0089666F">
        <w:rPr>
          <w:rFonts w:ascii="Arial" w:hAnsi="Arial" w:cs="Arial"/>
          <w:bCs/>
        </w:rPr>
        <w:t>, Slovenia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AB041" w14:textId="77777777" w:rsidR="009F6E85" w:rsidRDefault="009F6E85">
      <w:r>
        <w:separator/>
      </w:r>
    </w:p>
  </w:endnote>
  <w:endnote w:type="continuationSeparator" w:id="0">
    <w:p w14:paraId="7C0E5489" w14:textId="77777777" w:rsidR="009F6E85" w:rsidRDefault="009F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93660" w14:textId="77777777" w:rsidR="009F6E85" w:rsidRDefault="009F6E85">
      <w:r>
        <w:separator/>
      </w:r>
    </w:p>
  </w:footnote>
  <w:footnote w:type="continuationSeparator" w:id="0">
    <w:p w14:paraId="5CDFF5D7" w14:textId="77777777" w:rsidR="009F6E85" w:rsidRDefault="009F6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237638"/>
    <w:rsid w:val="003A7ACF"/>
    <w:rsid w:val="004234FF"/>
    <w:rsid w:val="00463675"/>
    <w:rsid w:val="00497346"/>
    <w:rsid w:val="004B43FA"/>
    <w:rsid w:val="004C3F5A"/>
    <w:rsid w:val="004C4DCF"/>
    <w:rsid w:val="00584B08"/>
    <w:rsid w:val="0059197C"/>
    <w:rsid w:val="006D5CF7"/>
    <w:rsid w:val="007116E4"/>
    <w:rsid w:val="00726FC3"/>
    <w:rsid w:val="0077485D"/>
    <w:rsid w:val="0089666F"/>
    <w:rsid w:val="008F34DF"/>
    <w:rsid w:val="00923E7C"/>
    <w:rsid w:val="009F6E85"/>
    <w:rsid w:val="00A72717"/>
    <w:rsid w:val="00A7348D"/>
    <w:rsid w:val="00BB085A"/>
    <w:rsid w:val="00CA2FB0"/>
    <w:rsid w:val="00D76FAD"/>
    <w:rsid w:val="00DE1595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237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19</cp:revision>
  <cp:lastPrinted>2002-04-23T07:10:00Z</cp:lastPrinted>
  <dcterms:created xsi:type="dcterms:W3CDTF">2019-01-14T13:28:00Z</dcterms:created>
  <dcterms:modified xsi:type="dcterms:W3CDTF">2019-08-27T11:45:00Z</dcterms:modified>
</cp:coreProperties>
</file>